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77A1" w14:textId="5D8C7472" w:rsidR="00907798" w:rsidRPr="00907798" w:rsidRDefault="00907798" w:rsidP="00907798">
      <w:pPr>
        <w:pBdr>
          <w:bottom w:val="single" w:sz="4" w:space="1" w:color="auto"/>
        </w:pBdr>
        <w:snapToGrid w:val="0"/>
        <w:spacing w:after="0" w:line="185" w:lineRule="auto"/>
        <w:ind w:rightChars="23" w:right="55"/>
        <w:jc w:val="center"/>
        <w:rPr>
          <w:rFonts w:ascii="微軟正黑體" w:eastAsia="微軟正黑體" w:hAnsi="微軟正黑體" w:cs="Times New Roman"/>
          <w:i/>
          <w:iCs/>
          <w:color w:val="002060"/>
          <w:sz w:val="28"/>
          <w:szCs w:val="28"/>
          <w:u w:val="single"/>
        </w:rPr>
      </w:pPr>
      <w:r>
        <w:rPr>
          <w:rFonts w:ascii="微軟正黑體" w:eastAsia="微軟正黑體" w:hAnsi="微軟正黑體" w:cs="Times New Roman" w:hint="eastAsia"/>
          <w:b/>
          <w:bCs/>
          <w:color w:val="002060"/>
          <w:sz w:val="40"/>
          <w:szCs w:val="40"/>
        </w:rPr>
        <w:t xml:space="preserve">                 </w:t>
      </w:r>
      <w:r w:rsidRPr="00907798">
        <w:rPr>
          <w:rFonts w:ascii="微軟正黑體" w:eastAsia="微軟正黑體" w:hAnsi="微軟正黑體" w:cs="Times New Roman"/>
          <w:b/>
          <w:bCs/>
          <w:color w:val="002060"/>
          <w:sz w:val="40"/>
          <w:szCs w:val="40"/>
        </w:rPr>
        <w:t xml:space="preserve">〈從箴言看管教兒女〉   </w:t>
      </w:r>
      <w:r>
        <w:rPr>
          <w:rFonts w:ascii="微軟正黑體" w:eastAsia="微軟正黑體" w:hAnsi="微軟正黑體" w:cs="Times New Roman" w:hint="eastAsia"/>
          <w:b/>
          <w:bCs/>
          <w:color w:val="002060"/>
          <w:sz w:val="40"/>
          <w:szCs w:val="40"/>
        </w:rPr>
        <w:t xml:space="preserve"> </w:t>
      </w:r>
      <w:r w:rsidRPr="00907798">
        <w:rPr>
          <w:rFonts w:ascii="微軟正黑體" w:eastAsia="微軟正黑體" w:hAnsi="微軟正黑體" w:cs="Times New Roman"/>
          <w:b/>
          <w:bCs/>
          <w:color w:val="002060"/>
          <w:sz w:val="40"/>
          <w:szCs w:val="40"/>
        </w:rPr>
        <w:t xml:space="preserve">    </w:t>
      </w:r>
      <w:r w:rsidRPr="00907798">
        <w:rPr>
          <w:rFonts w:ascii="微軟正黑體" w:eastAsia="微軟正黑體" w:hAnsi="微軟正黑體" w:cs="Times New Roman"/>
          <w:i/>
          <w:iCs/>
          <w:color w:val="002060"/>
          <w:sz w:val="28"/>
          <w:szCs w:val="28"/>
          <w:u w:val="single"/>
        </w:rPr>
        <w:t>葉映鳳傳道</w:t>
      </w:r>
    </w:p>
    <w:p w14:paraId="33942691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133" w:firstLine="426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「教養孩童，使</w:t>
      </w:r>
      <w:proofErr w:type="gramStart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他走當行</w:t>
      </w:r>
      <w:proofErr w:type="gramEnd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的道，就是到老他也不偏離。」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箴言22:6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</w:p>
    <w:p w14:paraId="559862AA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/>
        <w:jc w:val="both"/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</w:rPr>
        <w:t>一、</w:t>
      </w: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  <w:u w:val="single"/>
        </w:rPr>
        <w:t>何時教</w:t>
      </w:r>
    </w:p>
    <w:p w14:paraId="520DF35E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管教兒女要趁早。孩子在幼稚園階段便開始接觸這個世界的人和事，學習能力極強，往往從模仿父母、兄弟姊妹開始，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可說是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「有樣學樣」。他們既像一塊海綿，吸收力驚人；亦如一團泥土，隨著塑造的方式而成形。</w:t>
      </w:r>
    </w:p>
    <w:p w14:paraId="7C3E2E4B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《箴言》教導我們：「</w:t>
      </w:r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趁還有指望，管教你的兒子，不可執意摧毀他。</w:t>
      </w: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」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19:18，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和合本修訂版）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要趁孩子年幼、仍願意聆聽父母教導的時候，在他們尚未完全被這個世界錯綜複雜、似是而非的價值觀所影響之前，及早加以引導與管教。尤其在孩子尚未能清楚分辨是非黑白之時，父母更需要承擔起教養的責任。</w:t>
      </w:r>
    </w:p>
    <w:p w14:paraId="7882E895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/>
        <w:jc w:val="both"/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  <w:u w:val="single"/>
        </w:rPr>
      </w:pP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</w:rPr>
        <w:t>二、</w:t>
      </w: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  <w:u w:val="single"/>
        </w:rPr>
        <w:t>教甚麼</w:t>
      </w:r>
    </w:p>
    <w:p w14:paraId="5121875A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香港社會有不少單親家庭、雙職父母。有些家長外出工作時間長。我們見到一個社會現象：孩子放學後參加功課輔導班，家長依賴老師教；又或為子女報讀各樣興趣班，把教養的責任轉交給導師。</w:t>
      </w:r>
    </w:p>
    <w:p w14:paraId="0E525ED7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然而，孩子們最需要教導是甚麼呢？</w:t>
      </w:r>
    </w:p>
    <w:p w14:paraId="090D1B1A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除了知識與技能，更重要的是生命的品格，以及對真理的認識。父母需要教養孩童成為有承擔、有品格的公民。《箴言》提醒我們為人處世之道：「</w:t>
      </w:r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乖僻人的路上有荊棘和網羅，保守自己生命的必要遠離。</w:t>
      </w: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」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22:5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社會環境與家庭氛圍，對兒童和青少年的成長有著直接而深遠的影響。</w:t>
      </w:r>
    </w:p>
    <w:p w14:paraId="56D56260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教養下一代，需要教導他們遠離惡行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箴言4:14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–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15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、不以權謀私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以賽亞書33:15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、不效法惡人的行為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詩篇1:1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，並且不走彎曲的道路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箴言21:8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。父母應幫助子女學會顧及行為後果，成為仁慈、公平、公正及有責任感的人；在作出選擇時，願意承擔後果、履行責任。</w:t>
      </w:r>
    </w:p>
    <w:p w14:paraId="532BE3FA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同時，父母也要教導子女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口說良言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，培養誠實正直的品格：「</w:t>
      </w:r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喜愛清心的人［純正心思］，因他嘴上</w:t>
      </w:r>
      <w:proofErr w:type="gramStart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的恩言</w:t>
      </w:r>
      <w:proofErr w:type="gramEnd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，王必與他為友。</w:t>
      </w: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」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箴言22:11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在面對誘惑，尤其是男女關係方面，更要學會謹慎、自律，保守自己的心。</w:t>
      </w:r>
    </w:p>
    <w:p w14:paraId="55D5C543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/>
        <w:jc w:val="both"/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</w:rPr>
        <w:lastRenderedPageBreak/>
        <w:t>三、</w:t>
      </w:r>
      <w:r w:rsidRPr="00907798">
        <w:rPr>
          <w:rFonts w:ascii="微軟正黑體" w:eastAsia="微軟正黑體" w:hAnsi="微軟正黑體" w:cs="Times New Roman"/>
          <w:b/>
          <w:bCs/>
          <w:color w:val="002060"/>
          <w:sz w:val="32"/>
          <w:szCs w:val="32"/>
          <w:u w:val="single"/>
        </w:rPr>
        <w:t>怎樣教</w:t>
      </w:r>
    </w:p>
    <w:p w14:paraId="04FD7435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24"/>
        <w:jc w:val="both"/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耐心地教：管教兒女需要忍耐，等待他們在生命中慢慢成長，在心智上逐步成熟。</w:t>
      </w:r>
    </w:p>
    <w:p w14:paraId="0A5FD911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24"/>
        <w:jc w:val="both"/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愛心地教：真正的愛不是物質上的供應，也不是放任縱容，而是願意陪伴同行、建立關係。父母需要用心聆聽孩子的想法，與他們真誠溝通，並為他們訂立合宜的界線。</w:t>
      </w:r>
    </w:p>
    <w:p w14:paraId="1A17236A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40"/>
        <w:jc w:val="both"/>
        <w:rPr>
          <w:rFonts w:ascii="微軟正黑體" w:eastAsia="微軟正黑體" w:hAnsi="微軟正黑體" w:cs="Times New Roman"/>
          <w:color w:val="002060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身教言教：父母本身如何為人，往往比言語更有說服力。父母溫柔跟孩子說話、講道理、以身作則，孩子們自然從你們身上可以見到，學習到。父母是影響子女成長的主要因素。正面而積極的生命榜樣，包括勤勞、節儉、勇敢、有責任感、守望相助、真誠待人及具備社會公德；相反，若只有物質供應卻缺乏愛，或過分追逐享樂、名利與自我，亦會對孩子造成負面影響。孩子們成為怎樣的人，原生家庭有深遠的影響。《三字經》有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云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：「養不教，父之過。」聖經更提醒我們：</w:t>
      </w:r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「管教你的兒子，他就使你得安息，也必使你心</w:t>
      </w:r>
      <w:proofErr w:type="gramStart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裏</w:t>
      </w:r>
      <w:proofErr w:type="gramEnd"/>
      <w:r w:rsidRPr="00907798">
        <w:rPr>
          <w:rFonts w:ascii="微軟正黑體" w:eastAsia="微軟正黑體" w:hAnsi="微軟正黑體" w:cs="Times New Roman"/>
          <w:i/>
          <w:iCs/>
          <w:color w:val="002060"/>
          <w:sz w:val="32"/>
          <w:szCs w:val="32"/>
        </w:rPr>
        <w:t>喜樂。」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（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箴言29:17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z w:val="32"/>
          <w:szCs w:val="32"/>
        </w:rPr>
        <w:t>）</w:t>
      </w:r>
      <w:proofErr w:type="gramEnd"/>
    </w:p>
    <w:p w14:paraId="04B662DE" w14:textId="77777777" w:rsidR="00907798" w:rsidRPr="00907798" w:rsidRDefault="00907798" w:rsidP="00907798">
      <w:pPr>
        <w:snapToGrid w:val="0"/>
        <w:spacing w:beforeLines="30" w:before="108" w:after="0" w:line="240" w:lineRule="auto"/>
        <w:ind w:rightChars="23" w:right="55" w:firstLineChars="200" w:firstLine="624"/>
        <w:jc w:val="both"/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</w:pPr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弟兄姊妹，讓我們一起去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研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讀《箴言》，作個智慧的人。盼望作父母的，盡力養育子女，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用神的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話語有智慧、愛心和溫柔地管教兒女，使他們敬畏神作主喜悅的門徒。願意作子女的，謙卑順服尊敬父母，使父母快樂，供養孝順年老的父母親，在生活上</w:t>
      </w:r>
      <w:proofErr w:type="gramStart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榮神益人</w:t>
      </w:r>
      <w:proofErr w:type="gramEnd"/>
      <w:r w:rsidRPr="00907798">
        <w:rPr>
          <w:rFonts w:ascii="微軟正黑體" w:eastAsia="微軟正黑體" w:hAnsi="微軟正黑體" w:cs="Times New Roman"/>
          <w:color w:val="002060"/>
          <w:spacing w:val="-4"/>
          <w:sz w:val="32"/>
          <w:szCs w:val="32"/>
        </w:rPr>
        <w:t>。願意我們生命不斷更新，更多經歷主的愛和恩典。</w:t>
      </w:r>
    </w:p>
    <w:p w14:paraId="6475AAEE" w14:textId="77777777" w:rsidR="00907798" w:rsidRPr="00907798" w:rsidRDefault="00907798" w:rsidP="00907798">
      <w:pPr>
        <w:ind w:rightChars="23" w:right="55"/>
      </w:pPr>
    </w:p>
    <w:sectPr w:rsidR="00907798" w:rsidRPr="00907798" w:rsidSect="00907798">
      <w:pgSz w:w="11906" w:h="16838"/>
      <w:pgMar w:top="510" w:right="510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8"/>
    <w:rsid w:val="0015329A"/>
    <w:rsid w:val="009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2BAE"/>
  <w15:chartTrackingRefBased/>
  <w15:docId w15:val="{D3F76E02-B76A-40D2-9797-393BB229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79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79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7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7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7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7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07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0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0779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0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0779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077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77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77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7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0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07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07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07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7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Canaan Shamshuipo</dc:creator>
  <cp:keywords/>
  <dc:description/>
  <cp:lastModifiedBy>Canaan Shamshuipo</cp:lastModifiedBy>
  <cp:revision>1</cp:revision>
  <dcterms:created xsi:type="dcterms:W3CDTF">2026-05-08T02:30:00Z</dcterms:created>
  <dcterms:modified xsi:type="dcterms:W3CDTF">2026-05-08T02:33:00Z</dcterms:modified>
</cp:coreProperties>
</file>